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5B53" w:rsidRDefault="00B3420B">
      <w:pPr>
        <w:rPr>
          <w:lang w:val="es-EC"/>
        </w:rPr>
      </w:pPr>
      <w:r w:rsidRPr="00B3420B">
        <w:rPr>
          <w:lang w:val="es-EC"/>
        </w:rPr>
        <w:t>DECARGADO DE LA FUNCIÓN JUDICIAL DE ECUADOR</w:t>
      </w:r>
      <w:r>
        <w:rPr>
          <w:lang w:val="es-EC"/>
        </w:rPr>
        <w:t xml:space="preserve"> DEL SIGUEINTE ENLACE:</w:t>
      </w:r>
    </w:p>
    <w:p w:rsidR="00B3420B" w:rsidRPr="00B3420B" w:rsidRDefault="00B3420B">
      <w:pPr>
        <w:rPr>
          <w:lang w:val="es-EC"/>
        </w:rPr>
      </w:pPr>
      <w:hyperlink r:id="rId4" w:history="1">
        <w:r w:rsidRPr="00722A11">
          <w:rPr>
            <w:rStyle w:val="Hipervnculo"/>
            <w:lang w:val="es-EC"/>
          </w:rPr>
          <w:t>http://www.funcionjudicial-guayas.gob.ec/index.php?option=com_wrapper&amp;view=wrapper&amp;Itemid=63</w:t>
        </w:r>
      </w:hyperlink>
      <w:r>
        <w:rPr>
          <w:lang w:val="es-EC"/>
        </w:rPr>
        <w:t xml:space="preserve"> </w:t>
      </w:r>
      <w:bookmarkStart w:id="0" w:name="_GoBack"/>
      <w:bookmarkEnd w:id="0"/>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98"/>
        <w:gridCol w:w="1215"/>
        <w:gridCol w:w="1138"/>
        <w:gridCol w:w="6609"/>
      </w:tblGrid>
      <w:tr w:rsidR="00B3420B" w:rsidRPr="00B3420B" w:rsidTr="00B3420B">
        <w:trPr>
          <w:tblCellSpacing w:w="15" w:type="dxa"/>
        </w:trPr>
        <w:tc>
          <w:tcPr>
            <w:tcW w:w="2505" w:type="dxa"/>
            <w:gridSpan w:val="3"/>
            <w:shd w:val="clear" w:color="auto" w:fill="FBFBFB"/>
            <w:vAlign w:val="center"/>
            <w:hideMark/>
          </w:tcPr>
          <w:p w:rsidR="00B3420B" w:rsidRPr="00B3420B" w:rsidRDefault="00B3420B" w:rsidP="00B3420B">
            <w:pPr>
              <w:spacing w:after="0" w:line="240" w:lineRule="auto"/>
              <w:jc w:val="right"/>
              <w:rPr>
                <w:rFonts w:ascii="Verdana" w:eastAsia="Times New Roman" w:hAnsi="Verdana" w:cs="Times New Roman"/>
                <w:b/>
                <w:bCs/>
                <w:sz w:val="17"/>
                <w:szCs w:val="17"/>
              </w:rPr>
            </w:pPr>
            <w:r w:rsidRPr="00B3420B">
              <w:rPr>
                <w:rFonts w:ascii="Verdana" w:eastAsia="Times New Roman" w:hAnsi="Verdana" w:cs="Times New Roman"/>
                <w:b/>
                <w:bCs/>
                <w:sz w:val="17"/>
                <w:szCs w:val="17"/>
              </w:rPr>
              <w:t xml:space="preserve">No. </w:t>
            </w:r>
            <w:proofErr w:type="spellStart"/>
            <w:r w:rsidRPr="00B3420B">
              <w:rPr>
                <w:rFonts w:ascii="Verdana" w:eastAsia="Times New Roman" w:hAnsi="Verdana" w:cs="Times New Roman"/>
                <w:b/>
                <w:bCs/>
                <w:sz w:val="17"/>
                <w:szCs w:val="17"/>
              </w:rPr>
              <w:t>causa</w:t>
            </w:r>
            <w:proofErr w:type="spellEnd"/>
            <w:r w:rsidRPr="00B3420B">
              <w:rPr>
                <w:rFonts w:ascii="Verdana" w:eastAsia="Times New Roman" w:hAnsi="Verdana" w:cs="Times New Roman"/>
                <w:b/>
                <w:bCs/>
                <w:sz w:val="17"/>
                <w:szCs w:val="17"/>
              </w:rPr>
              <w:t>:</w:t>
            </w:r>
          </w:p>
        </w:tc>
        <w:tc>
          <w:tcPr>
            <w:tcW w:w="0" w:type="auto"/>
            <w:shd w:val="clear" w:color="auto" w:fill="FBFBFB"/>
            <w:vAlign w:val="center"/>
            <w:hideMark/>
          </w:tcPr>
          <w:p w:rsidR="00B3420B" w:rsidRPr="00B3420B" w:rsidRDefault="00B3420B" w:rsidP="00B3420B">
            <w:pPr>
              <w:spacing w:after="0" w:line="240" w:lineRule="auto"/>
              <w:rPr>
                <w:rFonts w:ascii="Times New Roman" w:eastAsia="Times New Roman" w:hAnsi="Times New Roman" w:cs="Times New Roman"/>
                <w:sz w:val="24"/>
                <w:szCs w:val="24"/>
              </w:rPr>
            </w:pPr>
            <w:r w:rsidRPr="00B3420B">
              <w:rPr>
                <w:rFonts w:ascii="Verdana" w:eastAsia="Times New Roman" w:hAnsi="Verdana" w:cs="Times New Roman"/>
                <w:sz w:val="17"/>
                <w:szCs w:val="17"/>
              </w:rPr>
              <w:t>09123-2010-0681 - (2010-07-29)</w:t>
            </w:r>
          </w:p>
        </w:tc>
      </w:tr>
      <w:tr w:rsidR="00B3420B" w:rsidRPr="00B3420B" w:rsidTr="00B3420B">
        <w:trPr>
          <w:tblCellSpacing w:w="15" w:type="dxa"/>
        </w:trPr>
        <w:tc>
          <w:tcPr>
            <w:tcW w:w="0" w:type="auto"/>
            <w:gridSpan w:val="3"/>
            <w:shd w:val="clear" w:color="auto" w:fill="F2F5F9"/>
            <w:vAlign w:val="center"/>
            <w:hideMark/>
          </w:tcPr>
          <w:p w:rsidR="00B3420B" w:rsidRPr="00B3420B" w:rsidRDefault="00B3420B" w:rsidP="00B3420B">
            <w:pPr>
              <w:spacing w:after="0" w:line="240" w:lineRule="auto"/>
              <w:jc w:val="right"/>
              <w:rPr>
                <w:rFonts w:ascii="Verdana" w:eastAsia="Times New Roman" w:hAnsi="Verdana" w:cs="Times New Roman"/>
                <w:b/>
                <w:bCs/>
                <w:sz w:val="17"/>
                <w:szCs w:val="17"/>
              </w:rPr>
            </w:pPr>
            <w:proofErr w:type="spellStart"/>
            <w:r w:rsidRPr="00B3420B">
              <w:rPr>
                <w:rFonts w:ascii="Verdana" w:eastAsia="Times New Roman" w:hAnsi="Verdana" w:cs="Times New Roman"/>
                <w:b/>
                <w:bCs/>
                <w:sz w:val="17"/>
                <w:szCs w:val="17"/>
              </w:rPr>
              <w:t>Judicatura</w:t>
            </w:r>
            <w:proofErr w:type="spellEnd"/>
            <w:r w:rsidRPr="00B3420B">
              <w:rPr>
                <w:rFonts w:ascii="Verdana" w:eastAsia="Times New Roman" w:hAnsi="Verdana" w:cs="Times New Roman"/>
                <w:b/>
                <w:bCs/>
                <w:sz w:val="17"/>
                <w:szCs w:val="17"/>
              </w:rPr>
              <w:t>:</w:t>
            </w:r>
          </w:p>
        </w:tc>
        <w:tc>
          <w:tcPr>
            <w:tcW w:w="0" w:type="auto"/>
            <w:shd w:val="clear" w:color="auto" w:fill="F2F5F9"/>
            <w:vAlign w:val="center"/>
            <w:hideMark/>
          </w:tcPr>
          <w:p w:rsidR="00B3420B" w:rsidRPr="00B3420B" w:rsidRDefault="00B3420B" w:rsidP="00B3420B">
            <w:pPr>
              <w:spacing w:after="0" w:line="240" w:lineRule="auto"/>
              <w:rPr>
                <w:rFonts w:ascii="Times New Roman" w:eastAsia="Times New Roman" w:hAnsi="Times New Roman" w:cs="Times New Roman"/>
                <w:sz w:val="24"/>
                <w:szCs w:val="24"/>
                <w:lang w:val="es-EC"/>
              </w:rPr>
            </w:pPr>
            <w:r w:rsidRPr="00B3420B">
              <w:rPr>
                <w:rFonts w:ascii="Verdana" w:eastAsia="Times New Roman" w:hAnsi="Verdana" w:cs="Times New Roman"/>
                <w:sz w:val="17"/>
                <w:szCs w:val="17"/>
                <w:lang w:val="es-EC"/>
              </w:rPr>
              <w:t>TERCERA SALA DE LO PENAL, COLUSORIOS Y TRANSITO</w:t>
            </w:r>
          </w:p>
        </w:tc>
      </w:tr>
      <w:tr w:rsidR="00B3420B" w:rsidRPr="00B3420B" w:rsidTr="00B3420B">
        <w:trPr>
          <w:tblCellSpacing w:w="15" w:type="dxa"/>
        </w:trPr>
        <w:tc>
          <w:tcPr>
            <w:tcW w:w="0" w:type="auto"/>
            <w:gridSpan w:val="3"/>
            <w:shd w:val="clear" w:color="auto" w:fill="FBFBFB"/>
            <w:vAlign w:val="center"/>
            <w:hideMark/>
          </w:tcPr>
          <w:p w:rsidR="00B3420B" w:rsidRPr="00B3420B" w:rsidRDefault="00B3420B" w:rsidP="00B3420B">
            <w:pPr>
              <w:spacing w:after="0" w:line="240" w:lineRule="auto"/>
              <w:jc w:val="right"/>
              <w:rPr>
                <w:rFonts w:ascii="Verdana" w:eastAsia="Times New Roman" w:hAnsi="Verdana" w:cs="Times New Roman"/>
                <w:b/>
                <w:bCs/>
                <w:sz w:val="17"/>
                <w:szCs w:val="17"/>
              </w:rPr>
            </w:pPr>
            <w:proofErr w:type="spellStart"/>
            <w:r w:rsidRPr="00B3420B">
              <w:rPr>
                <w:rFonts w:ascii="Verdana" w:eastAsia="Times New Roman" w:hAnsi="Verdana" w:cs="Times New Roman"/>
                <w:b/>
                <w:bCs/>
                <w:sz w:val="17"/>
                <w:szCs w:val="17"/>
              </w:rPr>
              <w:t>Acción</w:t>
            </w:r>
            <w:proofErr w:type="spellEnd"/>
            <w:r w:rsidRPr="00B3420B">
              <w:rPr>
                <w:rFonts w:ascii="Verdana" w:eastAsia="Times New Roman" w:hAnsi="Verdana" w:cs="Times New Roman"/>
                <w:b/>
                <w:bCs/>
                <w:sz w:val="17"/>
                <w:szCs w:val="17"/>
              </w:rPr>
              <w:t>/</w:t>
            </w:r>
            <w:proofErr w:type="spellStart"/>
            <w:r w:rsidRPr="00B3420B">
              <w:rPr>
                <w:rFonts w:ascii="Verdana" w:eastAsia="Times New Roman" w:hAnsi="Verdana" w:cs="Times New Roman"/>
                <w:b/>
                <w:bCs/>
                <w:sz w:val="17"/>
                <w:szCs w:val="17"/>
              </w:rPr>
              <w:t>Delito</w:t>
            </w:r>
            <w:proofErr w:type="spellEnd"/>
            <w:r w:rsidRPr="00B3420B">
              <w:rPr>
                <w:rFonts w:ascii="Verdana" w:eastAsia="Times New Roman" w:hAnsi="Verdana" w:cs="Times New Roman"/>
                <w:b/>
                <w:bCs/>
                <w:sz w:val="17"/>
                <w:szCs w:val="17"/>
              </w:rPr>
              <w:t>:</w:t>
            </w:r>
          </w:p>
        </w:tc>
        <w:tc>
          <w:tcPr>
            <w:tcW w:w="0" w:type="auto"/>
            <w:shd w:val="clear" w:color="auto" w:fill="FBFBFB"/>
            <w:vAlign w:val="center"/>
            <w:hideMark/>
          </w:tcPr>
          <w:p w:rsidR="00B3420B" w:rsidRPr="00B3420B" w:rsidRDefault="00B3420B" w:rsidP="00B3420B">
            <w:pPr>
              <w:spacing w:after="0" w:line="240" w:lineRule="auto"/>
              <w:rPr>
                <w:rFonts w:ascii="Times New Roman" w:eastAsia="Times New Roman" w:hAnsi="Times New Roman" w:cs="Times New Roman"/>
                <w:sz w:val="24"/>
                <w:szCs w:val="24"/>
              </w:rPr>
            </w:pPr>
            <w:r w:rsidRPr="00B3420B">
              <w:rPr>
                <w:rFonts w:ascii="Verdana" w:eastAsia="Times New Roman" w:hAnsi="Verdana" w:cs="Courier New"/>
                <w:sz w:val="17"/>
                <w:szCs w:val="17"/>
              </w:rPr>
              <w:t>ACCION DE PROTECCION</w:t>
            </w:r>
          </w:p>
        </w:tc>
      </w:tr>
      <w:tr w:rsidR="00B3420B" w:rsidRPr="00B3420B" w:rsidTr="00B3420B">
        <w:trPr>
          <w:tblCellSpacing w:w="15" w:type="dxa"/>
        </w:trPr>
        <w:tc>
          <w:tcPr>
            <w:tcW w:w="0" w:type="auto"/>
            <w:gridSpan w:val="3"/>
            <w:shd w:val="clear" w:color="auto" w:fill="F2F5F9"/>
            <w:vAlign w:val="center"/>
            <w:hideMark/>
          </w:tcPr>
          <w:p w:rsidR="00B3420B" w:rsidRPr="00B3420B" w:rsidRDefault="00B3420B" w:rsidP="00B3420B">
            <w:pPr>
              <w:spacing w:after="0" w:line="240" w:lineRule="auto"/>
              <w:jc w:val="right"/>
              <w:rPr>
                <w:rFonts w:ascii="Verdana" w:eastAsia="Times New Roman" w:hAnsi="Verdana" w:cs="Times New Roman"/>
                <w:b/>
                <w:bCs/>
                <w:sz w:val="17"/>
                <w:szCs w:val="17"/>
              </w:rPr>
            </w:pPr>
            <w:r w:rsidRPr="00B3420B">
              <w:rPr>
                <w:rFonts w:ascii="Verdana" w:eastAsia="Times New Roman" w:hAnsi="Verdana" w:cs="Times New Roman"/>
                <w:b/>
                <w:bCs/>
                <w:sz w:val="17"/>
                <w:szCs w:val="17"/>
              </w:rPr>
              <w:t>Actor/</w:t>
            </w:r>
            <w:proofErr w:type="spellStart"/>
            <w:r w:rsidRPr="00B3420B">
              <w:rPr>
                <w:rFonts w:ascii="Verdana" w:eastAsia="Times New Roman" w:hAnsi="Verdana" w:cs="Times New Roman"/>
                <w:b/>
                <w:bCs/>
                <w:sz w:val="17"/>
                <w:szCs w:val="17"/>
              </w:rPr>
              <w:t>Ofendido</w:t>
            </w:r>
            <w:proofErr w:type="spellEnd"/>
            <w:r w:rsidRPr="00B3420B">
              <w:rPr>
                <w:rFonts w:ascii="Verdana" w:eastAsia="Times New Roman" w:hAnsi="Verdana" w:cs="Times New Roman"/>
                <w:b/>
                <w:bCs/>
                <w:sz w:val="17"/>
                <w:szCs w:val="17"/>
              </w:rPr>
              <w:t>:</w:t>
            </w:r>
          </w:p>
        </w:tc>
        <w:tc>
          <w:tcPr>
            <w:tcW w:w="0" w:type="auto"/>
            <w:shd w:val="clear" w:color="auto" w:fill="F2F5F9"/>
            <w:vAlign w:val="center"/>
            <w:hideMark/>
          </w:tcPr>
          <w:p w:rsidR="00B3420B" w:rsidRPr="00B3420B" w:rsidRDefault="00B3420B" w:rsidP="00B3420B">
            <w:pPr>
              <w:spacing w:after="0" w:line="240" w:lineRule="auto"/>
              <w:rPr>
                <w:rFonts w:ascii="Times New Roman" w:eastAsia="Times New Roman" w:hAnsi="Times New Roman" w:cs="Times New Roman"/>
                <w:sz w:val="24"/>
                <w:szCs w:val="24"/>
                <w:lang w:val="es-EC"/>
              </w:rPr>
            </w:pPr>
            <w:r w:rsidRPr="00B3420B">
              <w:rPr>
                <w:rFonts w:ascii="Verdana" w:eastAsia="Times New Roman" w:hAnsi="Verdana" w:cs="Courier New"/>
                <w:sz w:val="17"/>
                <w:szCs w:val="17"/>
                <w:lang w:val="es-EC"/>
              </w:rPr>
              <w:t>FISCAL PROVINCIAL DEL GUAYAS, PROCURADOR GENERAL DEL ESTADO, RODRIGUEZ ZAMBRANO DIANE MARIE</w:t>
            </w:r>
          </w:p>
        </w:tc>
      </w:tr>
      <w:tr w:rsidR="00B3420B" w:rsidRPr="00B3420B" w:rsidTr="00B3420B">
        <w:trPr>
          <w:tblCellSpacing w:w="15" w:type="dxa"/>
        </w:trPr>
        <w:tc>
          <w:tcPr>
            <w:tcW w:w="0" w:type="auto"/>
            <w:gridSpan w:val="3"/>
            <w:shd w:val="clear" w:color="auto" w:fill="FBFBFB"/>
            <w:vAlign w:val="center"/>
            <w:hideMark/>
          </w:tcPr>
          <w:p w:rsidR="00B3420B" w:rsidRPr="00B3420B" w:rsidRDefault="00B3420B" w:rsidP="00B3420B">
            <w:pPr>
              <w:spacing w:after="0" w:line="240" w:lineRule="auto"/>
              <w:jc w:val="right"/>
              <w:rPr>
                <w:rFonts w:ascii="Verdana" w:eastAsia="Times New Roman" w:hAnsi="Verdana" w:cs="Times New Roman"/>
                <w:b/>
                <w:bCs/>
                <w:sz w:val="17"/>
                <w:szCs w:val="17"/>
              </w:rPr>
            </w:pPr>
            <w:proofErr w:type="spellStart"/>
            <w:r w:rsidRPr="00B3420B">
              <w:rPr>
                <w:rFonts w:ascii="Verdana" w:eastAsia="Times New Roman" w:hAnsi="Verdana" w:cs="Times New Roman"/>
                <w:b/>
                <w:bCs/>
                <w:sz w:val="17"/>
                <w:szCs w:val="17"/>
              </w:rPr>
              <w:t>Demandado</w:t>
            </w:r>
            <w:proofErr w:type="spellEnd"/>
            <w:r w:rsidRPr="00B3420B">
              <w:rPr>
                <w:rFonts w:ascii="Verdana" w:eastAsia="Times New Roman" w:hAnsi="Verdana" w:cs="Times New Roman"/>
                <w:b/>
                <w:bCs/>
                <w:sz w:val="17"/>
                <w:szCs w:val="17"/>
              </w:rPr>
              <w:t>/</w:t>
            </w:r>
            <w:proofErr w:type="spellStart"/>
            <w:r w:rsidRPr="00B3420B">
              <w:rPr>
                <w:rFonts w:ascii="Verdana" w:eastAsia="Times New Roman" w:hAnsi="Verdana" w:cs="Times New Roman"/>
                <w:b/>
                <w:bCs/>
                <w:sz w:val="17"/>
                <w:szCs w:val="17"/>
              </w:rPr>
              <w:t>Imputado</w:t>
            </w:r>
            <w:proofErr w:type="spellEnd"/>
            <w:r w:rsidRPr="00B3420B">
              <w:rPr>
                <w:rFonts w:ascii="Verdana" w:eastAsia="Times New Roman" w:hAnsi="Verdana" w:cs="Times New Roman"/>
                <w:b/>
                <w:bCs/>
                <w:sz w:val="17"/>
                <w:szCs w:val="17"/>
              </w:rPr>
              <w:t>:</w:t>
            </w:r>
          </w:p>
        </w:tc>
        <w:tc>
          <w:tcPr>
            <w:tcW w:w="0" w:type="auto"/>
            <w:shd w:val="clear" w:color="auto" w:fill="FBFBFB"/>
            <w:vAlign w:val="center"/>
            <w:hideMark/>
          </w:tcPr>
          <w:p w:rsidR="00B3420B" w:rsidRPr="00B3420B" w:rsidRDefault="00B3420B" w:rsidP="00B3420B">
            <w:pPr>
              <w:spacing w:after="0" w:line="240" w:lineRule="auto"/>
              <w:rPr>
                <w:rFonts w:ascii="Times New Roman" w:eastAsia="Times New Roman" w:hAnsi="Times New Roman" w:cs="Times New Roman"/>
                <w:sz w:val="24"/>
                <w:szCs w:val="24"/>
                <w:lang w:val="es-EC"/>
              </w:rPr>
            </w:pPr>
            <w:r w:rsidRPr="00B3420B">
              <w:rPr>
                <w:rFonts w:ascii="Verdana" w:eastAsia="Times New Roman" w:hAnsi="Verdana" w:cs="Courier New"/>
                <w:sz w:val="17"/>
                <w:szCs w:val="17"/>
                <w:lang w:val="es-EC"/>
              </w:rPr>
              <w:t>DIRECTOR DEL REGISTRO CIVIL RODRIGUEZ MOLINA PAULO, JEFE REGISTRO CIVIL</w:t>
            </w:r>
          </w:p>
        </w:tc>
      </w:tr>
      <w:tr w:rsidR="00B3420B" w:rsidRPr="00B3420B" w:rsidTr="00B3420B">
        <w:trPr>
          <w:tblCellSpacing w:w="15" w:type="dxa"/>
        </w:trPr>
        <w:tc>
          <w:tcPr>
            <w:tcW w:w="0" w:type="auto"/>
            <w:gridSpan w:val="3"/>
            <w:shd w:val="clear" w:color="auto" w:fill="F2F5F9"/>
            <w:vAlign w:val="center"/>
            <w:hideMark/>
          </w:tcPr>
          <w:p w:rsidR="00B3420B" w:rsidRPr="00B3420B" w:rsidRDefault="00B3420B" w:rsidP="00B3420B">
            <w:pPr>
              <w:spacing w:after="0" w:line="240" w:lineRule="auto"/>
              <w:jc w:val="right"/>
              <w:rPr>
                <w:rFonts w:ascii="Verdana" w:eastAsia="Times New Roman" w:hAnsi="Verdana" w:cs="Times New Roman"/>
                <w:b/>
                <w:bCs/>
                <w:sz w:val="17"/>
                <w:szCs w:val="17"/>
              </w:rPr>
            </w:pPr>
            <w:proofErr w:type="spellStart"/>
            <w:r w:rsidRPr="00B3420B">
              <w:rPr>
                <w:rFonts w:ascii="Verdana" w:eastAsia="Times New Roman" w:hAnsi="Verdana" w:cs="Times New Roman"/>
                <w:b/>
                <w:bCs/>
                <w:sz w:val="17"/>
                <w:szCs w:val="17"/>
              </w:rPr>
              <w:t>Otras</w:t>
            </w:r>
            <w:proofErr w:type="spellEnd"/>
            <w:r w:rsidRPr="00B3420B">
              <w:rPr>
                <w:rFonts w:ascii="Verdana" w:eastAsia="Times New Roman" w:hAnsi="Verdana" w:cs="Times New Roman"/>
                <w:b/>
                <w:bCs/>
                <w:sz w:val="17"/>
                <w:szCs w:val="17"/>
              </w:rPr>
              <w:t xml:space="preserve"> </w:t>
            </w:r>
            <w:proofErr w:type="spellStart"/>
            <w:r w:rsidRPr="00B3420B">
              <w:rPr>
                <w:rFonts w:ascii="Verdana" w:eastAsia="Times New Roman" w:hAnsi="Verdana" w:cs="Times New Roman"/>
                <w:b/>
                <w:bCs/>
                <w:sz w:val="17"/>
                <w:szCs w:val="17"/>
              </w:rPr>
              <w:t>instancias</w:t>
            </w:r>
            <w:proofErr w:type="spellEnd"/>
            <w:r w:rsidRPr="00B3420B">
              <w:rPr>
                <w:rFonts w:ascii="Verdana" w:eastAsia="Times New Roman" w:hAnsi="Verdana" w:cs="Times New Roman"/>
                <w:b/>
                <w:bCs/>
                <w:sz w:val="17"/>
                <w:szCs w:val="17"/>
              </w:rPr>
              <w:t xml:space="preserve"> :</w:t>
            </w:r>
          </w:p>
        </w:tc>
        <w:tc>
          <w:tcPr>
            <w:tcW w:w="0" w:type="auto"/>
            <w:shd w:val="clear" w:color="auto" w:fill="F2F5F9"/>
            <w:vAlign w:val="center"/>
            <w:hideMark/>
          </w:tcPr>
          <w:tbl>
            <w:tblPr>
              <w:tblW w:w="5000" w:type="pct"/>
              <w:tblCellSpacing w:w="0" w:type="dxa"/>
              <w:tblCellMar>
                <w:left w:w="0" w:type="dxa"/>
                <w:right w:w="0" w:type="dxa"/>
              </w:tblCellMar>
              <w:tblLook w:val="04A0" w:firstRow="1" w:lastRow="0" w:firstColumn="1" w:lastColumn="0" w:noHBand="0" w:noVBand="1"/>
            </w:tblPr>
            <w:tblGrid>
              <w:gridCol w:w="6534"/>
            </w:tblGrid>
            <w:tr w:rsidR="00B3420B" w:rsidRPr="00B3420B">
              <w:trPr>
                <w:tblCellSpacing w:w="0" w:type="dxa"/>
              </w:trPr>
              <w:tc>
                <w:tcPr>
                  <w:tcW w:w="0" w:type="auto"/>
                  <w:shd w:val="clear" w:color="auto" w:fill="FBFBFB"/>
                  <w:vAlign w:val="center"/>
                  <w:hideMark/>
                </w:tcPr>
                <w:p w:rsidR="00B3420B" w:rsidRPr="00B3420B" w:rsidRDefault="00B3420B" w:rsidP="00B3420B">
                  <w:pPr>
                    <w:spacing w:after="0" w:line="240" w:lineRule="auto"/>
                    <w:rPr>
                      <w:rFonts w:ascii="Times New Roman" w:eastAsia="Times New Roman" w:hAnsi="Times New Roman" w:cs="Times New Roman"/>
                      <w:sz w:val="24"/>
                      <w:szCs w:val="24"/>
                      <w:lang w:val="es-EC"/>
                    </w:rPr>
                  </w:pPr>
                  <w:r w:rsidRPr="00B3420B">
                    <w:rPr>
                      <w:rFonts w:ascii="Times New Roman" w:eastAsia="Times New Roman" w:hAnsi="Times New Roman" w:cs="Times New Roman"/>
                      <w:color w:val="0000FF"/>
                      <w:sz w:val="24"/>
                      <w:szCs w:val="24"/>
                      <w:lang w:val="es-EC"/>
                    </w:rPr>
                    <w:t>JUZ. 1ro CIVIL - (2010-01-20) - No. causa anterior: 09301-2010-0053</w:t>
                  </w:r>
                </w:p>
              </w:tc>
            </w:tr>
          </w:tbl>
          <w:p w:rsidR="00B3420B" w:rsidRPr="00B3420B" w:rsidRDefault="00B3420B" w:rsidP="00B3420B">
            <w:pPr>
              <w:spacing w:after="0" w:line="240" w:lineRule="auto"/>
              <w:rPr>
                <w:rFonts w:ascii="Verdana" w:eastAsia="Times New Roman" w:hAnsi="Verdana" w:cs="Times New Roman"/>
                <w:sz w:val="17"/>
                <w:szCs w:val="17"/>
                <w:lang w:val="es-EC"/>
              </w:rPr>
            </w:pPr>
          </w:p>
        </w:tc>
      </w:tr>
      <w:tr w:rsidR="00B3420B" w:rsidRPr="00B3420B" w:rsidTr="00B3420B">
        <w:trPr>
          <w:tblHeader/>
          <w:tblCellSpacing w:w="15" w:type="dxa"/>
        </w:trPr>
        <w:tc>
          <w:tcPr>
            <w:tcW w:w="300" w:type="dxa"/>
            <w:shd w:val="clear" w:color="auto" w:fill="005D83"/>
            <w:vAlign w:val="center"/>
            <w:hideMark/>
          </w:tcPr>
          <w:p w:rsidR="00B3420B" w:rsidRPr="00B3420B" w:rsidRDefault="00B3420B" w:rsidP="00B3420B">
            <w:pPr>
              <w:spacing w:after="0" w:line="240" w:lineRule="auto"/>
              <w:jc w:val="center"/>
              <w:rPr>
                <w:rFonts w:ascii="Verdana" w:eastAsia="Times New Roman" w:hAnsi="Verdana" w:cs="Times New Roman"/>
                <w:b/>
                <w:bCs/>
                <w:color w:val="FFFFFF"/>
                <w:sz w:val="17"/>
                <w:szCs w:val="17"/>
              </w:rPr>
            </w:pPr>
            <w:r w:rsidRPr="00B3420B">
              <w:rPr>
                <w:rFonts w:ascii="Verdana" w:eastAsia="Times New Roman" w:hAnsi="Verdana" w:cs="Times New Roman"/>
                <w:b/>
                <w:bCs/>
                <w:color w:val="FFFFFF"/>
                <w:sz w:val="17"/>
                <w:szCs w:val="17"/>
              </w:rPr>
              <w:t>No.</w:t>
            </w:r>
          </w:p>
        </w:tc>
        <w:tc>
          <w:tcPr>
            <w:tcW w:w="1185" w:type="dxa"/>
            <w:shd w:val="clear" w:color="auto" w:fill="005D83"/>
            <w:vAlign w:val="center"/>
            <w:hideMark/>
          </w:tcPr>
          <w:p w:rsidR="00B3420B" w:rsidRPr="00B3420B" w:rsidRDefault="00B3420B" w:rsidP="00B3420B">
            <w:pPr>
              <w:spacing w:after="0" w:line="240" w:lineRule="auto"/>
              <w:jc w:val="center"/>
              <w:rPr>
                <w:rFonts w:ascii="Verdana" w:eastAsia="Times New Roman" w:hAnsi="Verdana" w:cs="Times New Roman"/>
                <w:b/>
                <w:bCs/>
                <w:color w:val="FFFFFF"/>
                <w:sz w:val="17"/>
                <w:szCs w:val="17"/>
              </w:rPr>
            </w:pPr>
            <w:proofErr w:type="spellStart"/>
            <w:r w:rsidRPr="00B3420B">
              <w:rPr>
                <w:rFonts w:ascii="Verdana" w:eastAsia="Times New Roman" w:hAnsi="Verdana" w:cs="Times New Roman"/>
                <w:b/>
                <w:bCs/>
                <w:color w:val="FFFFFF"/>
                <w:sz w:val="17"/>
                <w:szCs w:val="17"/>
              </w:rPr>
              <w:t>Fecha</w:t>
            </w:r>
            <w:proofErr w:type="spellEnd"/>
          </w:p>
        </w:tc>
        <w:tc>
          <w:tcPr>
            <w:tcW w:w="8805" w:type="dxa"/>
            <w:gridSpan w:val="2"/>
            <w:shd w:val="clear" w:color="auto" w:fill="005D83"/>
            <w:vAlign w:val="center"/>
            <w:hideMark/>
          </w:tcPr>
          <w:p w:rsidR="00B3420B" w:rsidRPr="00B3420B" w:rsidRDefault="00B3420B" w:rsidP="00B3420B">
            <w:pPr>
              <w:spacing w:after="0" w:line="240" w:lineRule="auto"/>
              <w:rPr>
                <w:rFonts w:ascii="Verdana" w:eastAsia="Times New Roman" w:hAnsi="Verdana" w:cs="Times New Roman"/>
                <w:b/>
                <w:bCs/>
                <w:color w:val="FFFFFF"/>
                <w:sz w:val="17"/>
                <w:szCs w:val="17"/>
              </w:rPr>
            </w:pPr>
            <w:proofErr w:type="spellStart"/>
            <w:r w:rsidRPr="00B3420B">
              <w:rPr>
                <w:rFonts w:ascii="Verdana" w:eastAsia="Times New Roman" w:hAnsi="Verdana" w:cs="Times New Roman"/>
                <w:b/>
                <w:bCs/>
                <w:color w:val="FFFFFF"/>
                <w:sz w:val="17"/>
                <w:szCs w:val="17"/>
              </w:rPr>
              <w:t>Actividad</w:t>
            </w:r>
            <w:proofErr w:type="spellEnd"/>
          </w:p>
        </w:tc>
      </w:tr>
      <w:tr w:rsidR="00B3420B" w:rsidRPr="00B3420B" w:rsidTr="00B3420B">
        <w:trPr>
          <w:tblCellSpacing w:w="15" w:type="dxa"/>
        </w:trPr>
        <w:tc>
          <w:tcPr>
            <w:tcW w:w="0" w:type="auto"/>
            <w:shd w:val="clear" w:color="auto" w:fill="FBFBFB"/>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1</w:t>
            </w:r>
          </w:p>
        </w:tc>
        <w:tc>
          <w:tcPr>
            <w:tcW w:w="0" w:type="auto"/>
            <w:shd w:val="clear" w:color="auto" w:fill="FBFBFB"/>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2011-11-17</w:t>
            </w:r>
          </w:p>
        </w:tc>
        <w:tc>
          <w:tcPr>
            <w:tcW w:w="0" w:type="auto"/>
            <w:gridSpan w:val="2"/>
            <w:shd w:val="clear" w:color="auto" w:fill="FBFBFB"/>
            <w:vAlign w:val="center"/>
            <w:hideMark/>
          </w:tcPr>
          <w:p w:rsidR="00B3420B" w:rsidRPr="00B3420B" w:rsidRDefault="00B3420B" w:rsidP="00B3420B">
            <w:pPr>
              <w:spacing w:after="0" w:line="240" w:lineRule="auto"/>
              <w:rPr>
                <w:rFonts w:ascii="Times New Roman" w:eastAsia="Times New Roman" w:hAnsi="Times New Roman" w:cs="Times New Roman"/>
                <w:sz w:val="24"/>
                <w:szCs w:val="24"/>
              </w:rPr>
            </w:pPr>
            <w:r w:rsidRPr="00B3420B">
              <w:rPr>
                <w:rFonts w:ascii="Arial" w:eastAsia="Times New Roman" w:hAnsi="Arial" w:cs="Arial"/>
                <w:lang w:val="es-EC"/>
              </w:rPr>
              <w:t xml:space="preserve">VISTOS: Por el sorteo electrónico de ley, correspondió a esta Tercera Sala de lo Penal y Tránsito de la Corte Provincial de Justicia del Guayas, conocer y resolver el recurso de apelación interpuesto por Diane Marie Rodríguez Zambrano (fs.46), de la sentencia expedida por el Primero de lo Civil del Guayas (fs. 44-45), en la que declara sin lugar la acción de protección propuesta por la recurrente. Siendo el estado de la presente causa el de resolver para hacerlo se considera: PRIMERO: Esta Sala es competente para conocer la apelación interpuesta por la accionante, tal como lo establece el Art. 86, numeral 3, segundo inciso de la Constitución de la República, en concordancia con lo señalado en el art. 208 del Código Orgánico de la Función Judicial. La competencia conforme consta en el cuaderno de la instancia a fs. 2, se ha radicado por el sorteo de ley; SEGUNDO: Se declara la validez del proceso por haberse observado en la sustanciación, las reglas de procedimiento establecidas en la Ley Orgánica de garantías jurisdiccionales y Control Constitucional, y todas las formalidades prescritas en los artículos 86 y 88 de la Constitución de la República; TERCERO: La Constitución de {}{}{}la República establece en su Art. 88 que: “…La Acción de Protección tendrá por objeto el amparo directo y eficaz de los derechos reconocidos en la Constitución, y podrá interponerse cuando exista una vulneración de derechos constitucionales, por actos u omisiones de cualquier autoridad pública no judicial; contra políticas públicas cuando supongan la privación del goce o ejercicio de los derechos constitucionales, y cuando la violación proceda de una persona particular, si la violación del derecho provoca daño grave, si presta servicios públicos impropios, si actúa por delegación o concesión, o si la persona afectada se encuentra en estado de subordinación, indefensión o discriminación…”; CUARTO: En la especie encontramos: a) La recurrente deduce la presente acción manifestando que es una mujer </w:t>
            </w:r>
            <w:proofErr w:type="spellStart"/>
            <w:r w:rsidRPr="00B3420B">
              <w:rPr>
                <w:rFonts w:ascii="Arial" w:eastAsia="Times New Roman" w:hAnsi="Arial" w:cs="Arial"/>
                <w:lang w:val="es-EC"/>
              </w:rPr>
              <w:t>transgénero</w:t>
            </w:r>
            <w:proofErr w:type="spellEnd"/>
            <w:r w:rsidRPr="00B3420B">
              <w:rPr>
                <w:rFonts w:ascii="Arial" w:eastAsia="Times New Roman" w:hAnsi="Arial" w:cs="Arial"/>
                <w:lang w:val="es-EC"/>
              </w:rPr>
              <w:t xml:space="preserve"> de nacionalidad ecuatoriana que se identifica genéricamente como una mujer reasignada familiar y socialmente y que ha sufrido actos de discriminación por poseer aun nombres femeninos y sexo masculino por lo que en su cédula de ciudadanía ha intentado hacer varios cambios, pero el departamento legal del Registro Civil identificación y cedulación no lo ha permitido. Que mediante boleta No. 1348-DPG-2009, del 9 de noviembre del 2009, la Ab. Mónica Caicedo Leones Abogada 1 de la Defensoría del Pueblo, conmina al señor Ing. Paulo Rodríguez Molina Director General del Registro Civil Identificación y Cedulación adopte los mecanismos necesarios para que se cambie el sexo a la señorita Rodríguez Zambrano Diane Marie en su documento de identidad </w:t>
            </w:r>
            <w:r w:rsidRPr="00B3420B">
              <w:rPr>
                <w:rFonts w:ascii="Arial" w:eastAsia="Times New Roman" w:hAnsi="Arial" w:cs="Arial"/>
                <w:lang w:val="es-EC"/>
              </w:rPr>
              <w:lastRenderedPageBreak/>
              <w:t xml:space="preserve">y le solicita que en el plazo de ocho días le comunique sobre el cumplimiento de este pedido. Hecho que no ha sido tomado en cuenta por el accionado, lo cual ha criterio d la recurrente vulnera sus derechos constitucionales que versan sobre la identidad personal; por lo que solicita que se declare con lugar la acción que ella deduce y se ordene de manera inmediata al accionante que proceda a cambiar los datos de identificación de la recurrente; b) Obra de autos el acta de la audiencia pública (fs. 36-39); diligencia en la que las partes expusieron sus alegatos, ratificándose la accionante en todos los fundamentos de hecho y de derecho establecidos en su demanda; por otra parte en representación del accionado compareció el Ab. Luis Eugenio Calvo </w:t>
            </w:r>
            <w:proofErr w:type="spellStart"/>
            <w:r w:rsidRPr="00B3420B">
              <w:rPr>
                <w:rFonts w:ascii="Arial" w:eastAsia="Times New Roman" w:hAnsi="Arial" w:cs="Arial"/>
                <w:lang w:val="es-EC"/>
              </w:rPr>
              <w:t>Uriguen</w:t>
            </w:r>
            <w:proofErr w:type="spellEnd"/>
            <w:r w:rsidRPr="00B3420B">
              <w:rPr>
                <w:rFonts w:ascii="Arial" w:eastAsia="Times New Roman" w:hAnsi="Arial" w:cs="Arial"/>
                <w:lang w:val="es-EC"/>
              </w:rPr>
              <w:t xml:space="preserve">, quien menciona que el cambiarse de sexo no es un derecho reconocido por la Constitución de la República, y que el derecho de identidad que señala la accionante hace referencia a la nacionalidad, procedencia familiar, manifestaciones espirituales, culturales, religiosas, lingüísticas, políticas y sociales; expresa además que la ley de registro civil de identificación y cedulación en ninguna parte contempla el derecho ni la posibilidad de cambiarse de sexo, ni confiere competencia alguna a los funcionarios del Registro Civil para que procedan con el cambio de identidad de género masculino a femenino o viceversa en la tarjeta índice ni en la cédula de identidad y que por lo tanto cualquier resolución de autoridad pública conducente a cambiar la identidad de género de una persona devendría en inconstitucional; c) en representación de la Procuraduría General del Estado ha comparecido la Ab. Lourdes </w:t>
            </w:r>
            <w:proofErr w:type="spellStart"/>
            <w:r w:rsidRPr="00B3420B">
              <w:rPr>
                <w:rFonts w:ascii="Arial" w:eastAsia="Times New Roman" w:hAnsi="Arial" w:cs="Arial"/>
                <w:lang w:val="es-EC"/>
              </w:rPr>
              <w:t>Pincay</w:t>
            </w:r>
            <w:proofErr w:type="spellEnd"/>
            <w:r w:rsidRPr="00B3420B">
              <w:rPr>
                <w:rFonts w:ascii="Arial" w:eastAsia="Times New Roman" w:hAnsi="Arial" w:cs="Arial"/>
                <w:lang w:val="es-EC"/>
              </w:rPr>
              <w:t xml:space="preserve"> de Osorio, quien ha manifestado que en el presente caso concurre una falta de ley para aplicar lo peticionado por la accionante y que su demanda está inmersa en lo determinado en los numerales 4 y 5 del art. 42 de la LOGJCC, por ser un acto administrativo de aquellos que pueden ser impugnado por otras vías y porque su solicitud constituye la declaración de un derecho; QUINTO: Para resolver la Sala hace el siguiente análisis con sujeción a la sana critica, de lo manifestado por las partes se extrae que la pretensión de la accionante es que mediante sentencia se declare la existencia de un derecho no consagrado en la constitución; alega que no se ha cumplido con la boleta No. 1348-DPG-2009, del 9 de noviembre del 2009, donde la Ab. Mónica Caicedo Leones Abogada 1 de la Defensoría del Pueblo, conmina al señor Ing. Paulo Rodríguez Molina Director General del Registro Civil Identificación y Cedulación adopte los mecanismos necesarios para que se le cambie la identidad de género a la accionante; boleta que no consta dentro de los autos y que de ninguna forma su no cumplimiento constituye violación alguna a derechos reconocidos en la Constitución y en los Tratados de Derechos Humanos legalmente reconocidos por el Ecuador; tampoco se está privando el goce ni el ejercicio de garantía constitucional alguna, ni se ha discriminado a la recurrente; la Ley de Registro Civil de Identificación y Cedulación en ninguna de sus disposiciones considera el cambio de la identidad de género en las condiciones que señala la accionante; deviniendo la presente acción en improcedente, razones por las que esta Tercera Sala de lo Penal y Tránsito de la Corte Provincial de Justicia del Guayas, ADMINISTRANDO JUSTICIA EN NOMBRE DEL PUEBLO SOBERANO DEL ECUADOR Y POR AUTORIDAD DE LA CONSTITUCIÓN Y LAS LEYES DE LA REPÚBLICA, desechando el recurso de apelación interpuesto, confirma en todas sus partes la sentencia venida en grado, dejando a salvo el derecho que tienen la </w:t>
            </w:r>
            <w:r w:rsidRPr="00B3420B">
              <w:rPr>
                <w:rFonts w:ascii="Arial" w:eastAsia="Times New Roman" w:hAnsi="Arial" w:cs="Arial"/>
                <w:lang w:val="es-EC"/>
              </w:rPr>
              <w:lastRenderedPageBreak/>
              <w:t xml:space="preserve">recurrente de acogerse a las vías que le asistan. Ejecutoriada esta resolución, remítase el expediente al juzgado de origen para los fines legales pertinentes. Envíese copia de esta resolución a la Corte Constitucional para el desarrollo de su jurisprudencia. </w:t>
            </w:r>
            <w:proofErr w:type="spellStart"/>
            <w:r w:rsidRPr="00B3420B">
              <w:rPr>
                <w:rFonts w:ascii="Arial" w:eastAsia="Times New Roman" w:hAnsi="Arial" w:cs="Arial"/>
              </w:rPr>
              <w:t>Notifíquese</w:t>
            </w:r>
            <w:proofErr w:type="spellEnd"/>
            <w:r w:rsidRPr="00B3420B">
              <w:rPr>
                <w:rFonts w:ascii="Arial" w:eastAsia="Times New Roman" w:hAnsi="Arial" w:cs="Arial"/>
              </w:rPr>
              <w:t>.-</w:t>
            </w:r>
          </w:p>
        </w:tc>
      </w:tr>
      <w:tr w:rsidR="00B3420B" w:rsidRPr="00B3420B" w:rsidTr="00B3420B">
        <w:trPr>
          <w:tblCellSpacing w:w="15" w:type="dxa"/>
        </w:trPr>
        <w:tc>
          <w:tcPr>
            <w:tcW w:w="0" w:type="auto"/>
            <w:shd w:val="clear" w:color="auto" w:fill="F2F5F9"/>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lastRenderedPageBreak/>
              <w:t>2</w:t>
            </w:r>
          </w:p>
        </w:tc>
        <w:tc>
          <w:tcPr>
            <w:tcW w:w="0" w:type="auto"/>
            <w:shd w:val="clear" w:color="auto" w:fill="F2F5F9"/>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2011-11-21</w:t>
            </w:r>
          </w:p>
        </w:tc>
        <w:tc>
          <w:tcPr>
            <w:tcW w:w="0" w:type="auto"/>
            <w:gridSpan w:val="2"/>
            <w:shd w:val="clear" w:color="auto" w:fill="F2F5F9"/>
            <w:vAlign w:val="center"/>
            <w:hideMark/>
          </w:tcPr>
          <w:p w:rsidR="00B3420B" w:rsidRPr="00B3420B" w:rsidRDefault="00B3420B" w:rsidP="00B3420B">
            <w:pPr>
              <w:spacing w:after="0" w:line="240" w:lineRule="auto"/>
              <w:rPr>
                <w:rFonts w:ascii="Times New Roman" w:eastAsia="Times New Roman" w:hAnsi="Times New Roman" w:cs="Times New Roman"/>
                <w:sz w:val="24"/>
                <w:szCs w:val="24"/>
              </w:rPr>
            </w:pPr>
            <w:r w:rsidRPr="00B3420B">
              <w:rPr>
                <w:rFonts w:ascii="Arial" w:eastAsia="Times New Roman" w:hAnsi="Arial" w:cs="Arial"/>
                <w:lang w:val="es-EC"/>
              </w:rPr>
              <w:t xml:space="preserve">DILIGENCIA: Inmediatamente de dictada la sentencia anterior se dio cumplimiento a lo dispuesto en el art. 277 del Código de Procedimiento Civil.- </w:t>
            </w:r>
            <w:r w:rsidRPr="00B3420B">
              <w:rPr>
                <w:rFonts w:ascii="Arial" w:eastAsia="Times New Roman" w:hAnsi="Arial" w:cs="Arial"/>
              </w:rPr>
              <w:t xml:space="preserve">Guayaquil, </w:t>
            </w:r>
            <w:proofErr w:type="spellStart"/>
            <w:r w:rsidRPr="00B3420B">
              <w:rPr>
                <w:rFonts w:ascii="Arial" w:eastAsia="Times New Roman" w:hAnsi="Arial" w:cs="Arial"/>
              </w:rPr>
              <w:t>noviembre</w:t>
            </w:r>
            <w:proofErr w:type="spellEnd"/>
            <w:r w:rsidRPr="00B3420B">
              <w:rPr>
                <w:rFonts w:ascii="Arial" w:eastAsia="Times New Roman" w:hAnsi="Arial" w:cs="Arial"/>
              </w:rPr>
              <w:t xml:space="preserve"> 17 de 2011.-</w:t>
            </w:r>
          </w:p>
        </w:tc>
      </w:tr>
      <w:tr w:rsidR="00B3420B" w:rsidRPr="00B3420B" w:rsidTr="00B3420B">
        <w:trPr>
          <w:tblCellSpacing w:w="15" w:type="dxa"/>
        </w:trPr>
        <w:tc>
          <w:tcPr>
            <w:tcW w:w="0" w:type="auto"/>
            <w:shd w:val="clear" w:color="auto" w:fill="FBFBFB"/>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3</w:t>
            </w:r>
          </w:p>
        </w:tc>
        <w:tc>
          <w:tcPr>
            <w:tcW w:w="0" w:type="auto"/>
            <w:shd w:val="clear" w:color="auto" w:fill="FBFBFB"/>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2011-11-21</w:t>
            </w:r>
          </w:p>
        </w:tc>
        <w:tc>
          <w:tcPr>
            <w:tcW w:w="0" w:type="auto"/>
            <w:gridSpan w:val="2"/>
            <w:shd w:val="clear" w:color="auto" w:fill="FBFBFB"/>
            <w:vAlign w:val="center"/>
            <w:hideMark/>
          </w:tcPr>
          <w:p w:rsidR="00B3420B" w:rsidRPr="00B3420B" w:rsidRDefault="00B3420B" w:rsidP="00B3420B">
            <w:pPr>
              <w:spacing w:after="0" w:line="240" w:lineRule="auto"/>
              <w:rPr>
                <w:rFonts w:ascii="Times New Roman" w:eastAsia="Times New Roman" w:hAnsi="Times New Roman" w:cs="Times New Roman"/>
                <w:sz w:val="24"/>
                <w:szCs w:val="24"/>
              </w:rPr>
            </w:pPr>
            <w:r w:rsidRPr="00B3420B">
              <w:rPr>
                <w:rFonts w:ascii="Arial" w:eastAsia="Times New Roman" w:hAnsi="Arial" w:cs="Arial"/>
                <w:lang w:val="es-EC"/>
              </w:rPr>
              <w:t xml:space="preserve">En Guayaquil, lunes veinte y uno de noviembre del dos mil once, a partir de las quince horas y cuarenta y cinco minutos, mediante boletas judiciales notifiqué el AUTO que antecede a: RODRIGUEZ ZAMBRANO DIANE MARIE en la casilla No. 4660; PROCURADOR GENERAL DEL ESTADO en la casilla No. 3002; FISCAL PROVINCIAL DEL GUAYAS en la casilla No. 2377. DIRECTOR DEL REGISTRO CIVIL RODRIGUEZ MOLINA PAULO en la casilla No. 2016; JEFE REGISTRO CIVIL en la casilla No. 3052. </w:t>
            </w:r>
            <w:proofErr w:type="spellStart"/>
            <w:r w:rsidRPr="00B3420B">
              <w:rPr>
                <w:rFonts w:ascii="Arial" w:eastAsia="Times New Roman" w:hAnsi="Arial" w:cs="Arial"/>
              </w:rPr>
              <w:t>Certifico</w:t>
            </w:r>
            <w:proofErr w:type="spellEnd"/>
            <w:r w:rsidRPr="00B3420B">
              <w:rPr>
                <w:rFonts w:ascii="Arial" w:eastAsia="Times New Roman" w:hAnsi="Arial" w:cs="Arial"/>
              </w:rPr>
              <w:t>:</w:t>
            </w:r>
          </w:p>
        </w:tc>
      </w:tr>
      <w:tr w:rsidR="00B3420B" w:rsidRPr="00B3420B" w:rsidTr="00B3420B">
        <w:trPr>
          <w:tblCellSpacing w:w="15" w:type="dxa"/>
        </w:trPr>
        <w:tc>
          <w:tcPr>
            <w:tcW w:w="0" w:type="auto"/>
            <w:shd w:val="clear" w:color="auto" w:fill="F2F5F9"/>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4</w:t>
            </w:r>
          </w:p>
        </w:tc>
        <w:tc>
          <w:tcPr>
            <w:tcW w:w="0" w:type="auto"/>
            <w:shd w:val="clear" w:color="auto" w:fill="F2F5F9"/>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2011-11-21</w:t>
            </w:r>
          </w:p>
        </w:tc>
        <w:tc>
          <w:tcPr>
            <w:tcW w:w="0" w:type="auto"/>
            <w:gridSpan w:val="2"/>
            <w:shd w:val="clear" w:color="auto" w:fill="F2F5F9"/>
            <w:vAlign w:val="center"/>
            <w:hideMark/>
          </w:tcPr>
          <w:p w:rsidR="00B3420B" w:rsidRPr="00B3420B" w:rsidRDefault="00B3420B" w:rsidP="00B3420B">
            <w:pPr>
              <w:spacing w:after="0" w:line="240" w:lineRule="auto"/>
              <w:rPr>
                <w:rFonts w:ascii="Times New Roman" w:eastAsia="Times New Roman" w:hAnsi="Times New Roman" w:cs="Times New Roman"/>
                <w:sz w:val="24"/>
                <w:szCs w:val="24"/>
              </w:rPr>
            </w:pPr>
            <w:r w:rsidRPr="00B3420B">
              <w:rPr>
                <w:rFonts w:ascii="Arial" w:eastAsia="Times New Roman" w:hAnsi="Arial" w:cs="Arial"/>
                <w:lang w:val="es-EC"/>
              </w:rPr>
              <w:t xml:space="preserve">R de E CORTE PROVINCIAL DE JUSTICIA DE GUAYAQUIL TERCERA SALA PENAL Y TRANSITO Oficio.- No.942- CPJG-TSPT.- Guayaquil, noviembre 21 de 2011.- Señores CORTE CONSTITUCIONAL Quito De mis consideraciones: Adjunto al presente remito a Ud., en una (1) fojas las copias certificadas la sentencia dictada dentro de la ACCION DE PROTECCION No. 681-2010 seguida por DIANE MARIE RODRIGUEZ ZAMBRANO.- Particular que pongo a su conocimiento, para los fines de ley.- </w:t>
            </w:r>
            <w:proofErr w:type="spellStart"/>
            <w:r w:rsidRPr="00B3420B">
              <w:rPr>
                <w:rFonts w:ascii="Arial" w:eastAsia="Times New Roman" w:hAnsi="Arial" w:cs="Arial"/>
              </w:rPr>
              <w:t>Atte</w:t>
            </w:r>
            <w:proofErr w:type="spellEnd"/>
            <w:r w:rsidRPr="00B3420B">
              <w:rPr>
                <w:rFonts w:ascii="Arial" w:eastAsia="Times New Roman" w:hAnsi="Arial" w:cs="Arial"/>
              </w:rPr>
              <w:t>.-</w:t>
            </w:r>
          </w:p>
        </w:tc>
      </w:tr>
      <w:tr w:rsidR="00B3420B" w:rsidRPr="00B3420B" w:rsidTr="00B3420B">
        <w:trPr>
          <w:tblCellSpacing w:w="15" w:type="dxa"/>
        </w:trPr>
        <w:tc>
          <w:tcPr>
            <w:tcW w:w="0" w:type="auto"/>
            <w:shd w:val="clear" w:color="auto" w:fill="FBFBFB"/>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5</w:t>
            </w:r>
          </w:p>
        </w:tc>
        <w:tc>
          <w:tcPr>
            <w:tcW w:w="0" w:type="auto"/>
            <w:shd w:val="clear" w:color="auto" w:fill="FBFBFB"/>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2011-11-21</w:t>
            </w:r>
          </w:p>
        </w:tc>
        <w:tc>
          <w:tcPr>
            <w:tcW w:w="0" w:type="auto"/>
            <w:gridSpan w:val="2"/>
            <w:shd w:val="clear" w:color="auto" w:fill="FBFBFB"/>
            <w:vAlign w:val="center"/>
            <w:hideMark/>
          </w:tcPr>
          <w:p w:rsidR="00B3420B" w:rsidRPr="00B3420B" w:rsidRDefault="00B3420B" w:rsidP="00B3420B">
            <w:pPr>
              <w:spacing w:after="0" w:line="240" w:lineRule="auto"/>
              <w:rPr>
                <w:rFonts w:ascii="Times New Roman" w:eastAsia="Times New Roman" w:hAnsi="Times New Roman" w:cs="Times New Roman"/>
                <w:sz w:val="24"/>
                <w:szCs w:val="24"/>
              </w:rPr>
            </w:pPr>
            <w:r w:rsidRPr="00B3420B">
              <w:rPr>
                <w:rFonts w:ascii="Arial" w:eastAsia="Times New Roman" w:hAnsi="Arial" w:cs="Arial"/>
                <w:lang w:val="es-EC"/>
              </w:rPr>
              <w:t xml:space="preserve">RAZON: siento como tal que en esta fecha mediante oficio No.942, se remitió a la Corte Constitucional copia de la sentencia dictada en la ACCION DE PROTECCION No. 2010-0681.- </w:t>
            </w:r>
            <w:r w:rsidRPr="00B3420B">
              <w:rPr>
                <w:rFonts w:ascii="Arial" w:eastAsia="Times New Roman" w:hAnsi="Arial" w:cs="Arial"/>
              </w:rPr>
              <w:t xml:space="preserve">Guayaquil, </w:t>
            </w:r>
            <w:proofErr w:type="spellStart"/>
            <w:r w:rsidRPr="00B3420B">
              <w:rPr>
                <w:rFonts w:ascii="Arial" w:eastAsia="Times New Roman" w:hAnsi="Arial" w:cs="Arial"/>
              </w:rPr>
              <w:t>noviembre</w:t>
            </w:r>
            <w:proofErr w:type="spellEnd"/>
            <w:r w:rsidRPr="00B3420B">
              <w:rPr>
                <w:rFonts w:ascii="Arial" w:eastAsia="Times New Roman" w:hAnsi="Arial" w:cs="Arial"/>
              </w:rPr>
              <w:t xml:space="preserve"> 21 de 2011.-</w:t>
            </w:r>
          </w:p>
        </w:tc>
      </w:tr>
      <w:tr w:rsidR="00B3420B" w:rsidRPr="00B3420B" w:rsidTr="00B3420B">
        <w:trPr>
          <w:tblCellSpacing w:w="15" w:type="dxa"/>
        </w:trPr>
        <w:tc>
          <w:tcPr>
            <w:tcW w:w="0" w:type="auto"/>
            <w:shd w:val="clear" w:color="auto" w:fill="F2F5F9"/>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6</w:t>
            </w:r>
          </w:p>
        </w:tc>
        <w:tc>
          <w:tcPr>
            <w:tcW w:w="0" w:type="auto"/>
            <w:shd w:val="clear" w:color="auto" w:fill="F2F5F9"/>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2012-01-05</w:t>
            </w:r>
          </w:p>
        </w:tc>
        <w:tc>
          <w:tcPr>
            <w:tcW w:w="0" w:type="auto"/>
            <w:gridSpan w:val="2"/>
            <w:shd w:val="clear" w:color="auto" w:fill="F2F5F9"/>
            <w:vAlign w:val="center"/>
            <w:hideMark/>
          </w:tcPr>
          <w:p w:rsidR="00B3420B" w:rsidRPr="00B3420B" w:rsidRDefault="00B3420B" w:rsidP="00B3420B">
            <w:pPr>
              <w:spacing w:after="0" w:line="240" w:lineRule="auto"/>
              <w:rPr>
                <w:rFonts w:ascii="Times New Roman" w:eastAsia="Times New Roman" w:hAnsi="Times New Roman" w:cs="Times New Roman"/>
                <w:sz w:val="24"/>
                <w:szCs w:val="24"/>
              </w:rPr>
            </w:pPr>
            <w:r w:rsidRPr="00B3420B">
              <w:rPr>
                <w:rFonts w:ascii="Arial" w:eastAsia="Times New Roman" w:hAnsi="Arial" w:cs="Arial"/>
              </w:rPr>
              <w:t>RESOLVER RECURSO</w:t>
            </w:r>
          </w:p>
        </w:tc>
      </w:tr>
      <w:tr w:rsidR="00B3420B" w:rsidRPr="00B3420B" w:rsidTr="00B3420B">
        <w:trPr>
          <w:tblCellSpacing w:w="15" w:type="dxa"/>
        </w:trPr>
        <w:tc>
          <w:tcPr>
            <w:tcW w:w="0" w:type="auto"/>
            <w:shd w:val="clear" w:color="auto" w:fill="FBFBFB"/>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7</w:t>
            </w:r>
          </w:p>
        </w:tc>
        <w:tc>
          <w:tcPr>
            <w:tcW w:w="0" w:type="auto"/>
            <w:shd w:val="clear" w:color="auto" w:fill="FBFBFB"/>
            <w:hideMark/>
          </w:tcPr>
          <w:p w:rsidR="00B3420B" w:rsidRPr="00B3420B" w:rsidRDefault="00B3420B" w:rsidP="00B3420B">
            <w:pPr>
              <w:spacing w:after="0" w:line="240" w:lineRule="auto"/>
              <w:jc w:val="center"/>
              <w:rPr>
                <w:rFonts w:ascii="Times New Roman" w:eastAsia="Times New Roman" w:hAnsi="Times New Roman" w:cs="Times New Roman"/>
                <w:sz w:val="24"/>
                <w:szCs w:val="24"/>
              </w:rPr>
            </w:pPr>
            <w:r w:rsidRPr="00B3420B">
              <w:rPr>
                <w:rFonts w:ascii="Arial" w:eastAsia="Times New Roman" w:hAnsi="Arial" w:cs="Arial"/>
                <w:b/>
                <w:bCs/>
                <w:sz w:val="17"/>
                <w:szCs w:val="17"/>
              </w:rPr>
              <w:t>2012-02-22</w:t>
            </w:r>
          </w:p>
        </w:tc>
        <w:tc>
          <w:tcPr>
            <w:tcW w:w="0" w:type="auto"/>
            <w:gridSpan w:val="2"/>
            <w:shd w:val="clear" w:color="auto" w:fill="FBFBFB"/>
            <w:vAlign w:val="center"/>
            <w:hideMark/>
          </w:tcPr>
          <w:p w:rsidR="00B3420B" w:rsidRPr="00B3420B" w:rsidRDefault="00B3420B" w:rsidP="00B3420B">
            <w:pPr>
              <w:spacing w:after="0" w:line="240" w:lineRule="auto"/>
              <w:rPr>
                <w:rFonts w:ascii="Times New Roman" w:eastAsia="Times New Roman" w:hAnsi="Times New Roman" w:cs="Times New Roman"/>
                <w:sz w:val="24"/>
                <w:szCs w:val="24"/>
              </w:rPr>
            </w:pPr>
            <w:r w:rsidRPr="00B3420B">
              <w:rPr>
                <w:rFonts w:ascii="Arial" w:eastAsia="Times New Roman" w:hAnsi="Arial" w:cs="Arial"/>
              </w:rPr>
              <w:t>COPIAS CERTIFICADAS</w:t>
            </w:r>
          </w:p>
        </w:tc>
      </w:tr>
    </w:tbl>
    <w:p w:rsidR="00B3420B" w:rsidRDefault="00B3420B"/>
    <w:sectPr w:rsidR="00B34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20B"/>
    <w:rsid w:val="00B3420B"/>
    <w:rsid w:val="00D25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C3CB01-E272-4FCB-B65E-225D09E93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causa">
    <w:name w:val="textocausa"/>
    <w:basedOn w:val="Fuentedeprrafopredeter"/>
    <w:rsid w:val="00B3420B"/>
  </w:style>
  <w:style w:type="character" w:styleId="EjemplodeHTML">
    <w:name w:val="HTML Sample"/>
    <w:basedOn w:val="Fuentedeprrafopredeter"/>
    <w:uiPriority w:val="99"/>
    <w:semiHidden/>
    <w:unhideWhenUsed/>
    <w:rsid w:val="00B3420B"/>
    <w:rPr>
      <w:rFonts w:ascii="Courier New" w:eastAsia="Times New Roman" w:hAnsi="Courier New" w:cs="Courier New"/>
    </w:rPr>
  </w:style>
  <w:style w:type="character" w:customStyle="1" w:styleId="textodestacado">
    <w:name w:val="textodestacado"/>
    <w:basedOn w:val="Fuentedeprrafopredeter"/>
    <w:rsid w:val="00B3420B"/>
  </w:style>
  <w:style w:type="character" w:customStyle="1" w:styleId="textoprovidencia">
    <w:name w:val="textoprovidencia"/>
    <w:basedOn w:val="Fuentedeprrafopredeter"/>
    <w:rsid w:val="00B3420B"/>
  </w:style>
  <w:style w:type="character" w:styleId="Hipervnculo">
    <w:name w:val="Hyperlink"/>
    <w:basedOn w:val="Fuentedeprrafopredeter"/>
    <w:uiPriority w:val="99"/>
    <w:unhideWhenUsed/>
    <w:rsid w:val="00B3420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785920">
      <w:bodyDiv w:val="1"/>
      <w:marLeft w:val="0"/>
      <w:marRight w:val="0"/>
      <w:marTop w:val="0"/>
      <w:marBottom w:val="0"/>
      <w:divBdr>
        <w:top w:val="none" w:sz="0" w:space="0" w:color="auto"/>
        <w:left w:val="none" w:sz="0" w:space="0" w:color="auto"/>
        <w:bottom w:val="none" w:sz="0" w:space="0" w:color="auto"/>
        <w:right w:val="none" w:sz="0" w:space="0" w:color="auto"/>
      </w:divBdr>
      <w:divsChild>
        <w:div w:id="725185976">
          <w:marLeft w:val="0"/>
          <w:marRight w:val="0"/>
          <w:marTop w:val="0"/>
          <w:marBottom w:val="0"/>
          <w:divBdr>
            <w:top w:val="none" w:sz="0" w:space="0" w:color="auto"/>
            <w:left w:val="none" w:sz="0" w:space="0" w:color="auto"/>
            <w:bottom w:val="none" w:sz="0" w:space="0" w:color="auto"/>
            <w:right w:val="none" w:sz="0" w:space="0" w:color="auto"/>
          </w:divBdr>
        </w:div>
        <w:div w:id="1058741595">
          <w:marLeft w:val="0"/>
          <w:marRight w:val="0"/>
          <w:marTop w:val="0"/>
          <w:marBottom w:val="0"/>
          <w:divBdr>
            <w:top w:val="none" w:sz="0" w:space="0" w:color="auto"/>
            <w:left w:val="none" w:sz="0" w:space="0" w:color="auto"/>
            <w:bottom w:val="none" w:sz="0" w:space="0" w:color="auto"/>
            <w:right w:val="none" w:sz="0" w:space="0" w:color="auto"/>
          </w:divBdr>
        </w:div>
        <w:div w:id="1019351532">
          <w:marLeft w:val="0"/>
          <w:marRight w:val="0"/>
          <w:marTop w:val="0"/>
          <w:marBottom w:val="0"/>
          <w:divBdr>
            <w:top w:val="none" w:sz="0" w:space="0" w:color="auto"/>
            <w:left w:val="none" w:sz="0" w:space="0" w:color="auto"/>
            <w:bottom w:val="none" w:sz="0" w:space="0" w:color="auto"/>
            <w:right w:val="none" w:sz="0" w:space="0" w:color="auto"/>
          </w:divBdr>
        </w:div>
        <w:div w:id="651906250">
          <w:marLeft w:val="0"/>
          <w:marRight w:val="0"/>
          <w:marTop w:val="0"/>
          <w:marBottom w:val="0"/>
          <w:divBdr>
            <w:top w:val="none" w:sz="0" w:space="0" w:color="auto"/>
            <w:left w:val="none" w:sz="0" w:space="0" w:color="auto"/>
            <w:bottom w:val="none" w:sz="0" w:space="0" w:color="auto"/>
            <w:right w:val="none" w:sz="0" w:space="0" w:color="auto"/>
          </w:divBdr>
        </w:div>
        <w:div w:id="99229629">
          <w:marLeft w:val="0"/>
          <w:marRight w:val="0"/>
          <w:marTop w:val="0"/>
          <w:marBottom w:val="0"/>
          <w:divBdr>
            <w:top w:val="none" w:sz="0" w:space="0" w:color="auto"/>
            <w:left w:val="none" w:sz="0" w:space="0" w:color="auto"/>
            <w:bottom w:val="none" w:sz="0" w:space="0" w:color="auto"/>
            <w:right w:val="none" w:sz="0" w:space="0" w:color="auto"/>
          </w:divBdr>
        </w:div>
        <w:div w:id="937523725">
          <w:marLeft w:val="0"/>
          <w:marRight w:val="0"/>
          <w:marTop w:val="0"/>
          <w:marBottom w:val="0"/>
          <w:divBdr>
            <w:top w:val="none" w:sz="0" w:space="0" w:color="auto"/>
            <w:left w:val="none" w:sz="0" w:space="0" w:color="auto"/>
            <w:bottom w:val="none" w:sz="0" w:space="0" w:color="auto"/>
            <w:right w:val="none" w:sz="0" w:space="0" w:color="auto"/>
          </w:divBdr>
        </w:div>
        <w:div w:id="1796672779">
          <w:marLeft w:val="0"/>
          <w:marRight w:val="0"/>
          <w:marTop w:val="0"/>
          <w:marBottom w:val="0"/>
          <w:divBdr>
            <w:top w:val="none" w:sz="0" w:space="0" w:color="auto"/>
            <w:left w:val="none" w:sz="0" w:space="0" w:color="auto"/>
            <w:bottom w:val="none" w:sz="0" w:space="0" w:color="auto"/>
            <w:right w:val="none" w:sz="0" w:space="0" w:color="auto"/>
          </w:divBdr>
        </w:div>
        <w:div w:id="17654918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uncionjudicial-guayas.gob.ec/index.php?option=com_wrapper&amp;view=wrapper&amp;Itemid=6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1323</Words>
  <Characters>7544</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Rodríguez</dc:creator>
  <cp:keywords/>
  <dc:description/>
  <cp:lastModifiedBy>Diane Rodríguez</cp:lastModifiedBy>
  <cp:revision>1</cp:revision>
  <dcterms:created xsi:type="dcterms:W3CDTF">2014-01-29T21:11:00Z</dcterms:created>
  <dcterms:modified xsi:type="dcterms:W3CDTF">2014-01-29T21:13:00Z</dcterms:modified>
</cp:coreProperties>
</file>